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9BA4" w14:textId="4B1C9AF8" w:rsidR="00D9450B" w:rsidRPr="00D52DB2" w:rsidRDefault="00D9450B" w:rsidP="00D9450B">
      <w:pPr>
        <w:jc w:val="center"/>
        <w:rPr>
          <w:rFonts w:ascii="Georgia" w:hAnsi="Georgia"/>
          <w:b/>
          <w:bCs/>
          <w:sz w:val="28"/>
          <w:szCs w:val="28"/>
          <w:lang w:val="pt-BR"/>
        </w:rPr>
      </w:pPr>
      <w:r w:rsidRPr="00D52DB2">
        <w:rPr>
          <w:rFonts w:ascii="Georgia" w:hAnsi="Georgia"/>
          <w:b/>
          <w:bCs/>
          <w:sz w:val="28"/>
          <w:szCs w:val="28"/>
          <w:lang w:val="pt-BR"/>
        </w:rPr>
        <w:t>COMUNICAT DE PRESĂ</w:t>
      </w:r>
    </w:p>
    <w:p w14:paraId="77BA6111" w14:textId="5058AB11" w:rsidR="00D9450B" w:rsidRPr="00D52DB2" w:rsidRDefault="00D9450B" w:rsidP="00D9450B">
      <w:pPr>
        <w:jc w:val="center"/>
        <w:rPr>
          <w:rFonts w:ascii="Georgia" w:hAnsi="Georgia"/>
          <w:b/>
          <w:bCs/>
          <w:sz w:val="28"/>
          <w:szCs w:val="28"/>
          <w:lang w:val="pt-BR"/>
        </w:rPr>
      </w:pPr>
      <w:r w:rsidRPr="00D52DB2">
        <w:rPr>
          <w:rFonts w:ascii="Georgia" w:hAnsi="Georgia"/>
          <w:b/>
          <w:bCs/>
          <w:sz w:val="28"/>
          <w:szCs w:val="28"/>
          <w:lang w:val="pt-BR"/>
        </w:rPr>
        <w:t>Politica comercială a Uniunii Europene: Regândirea reglementărilor pentru o economie mai competitivă și impactul asupra României</w:t>
      </w:r>
    </w:p>
    <w:p w14:paraId="1BBCEC8A" w14:textId="77777777" w:rsidR="00D9450B" w:rsidRPr="00D9450B" w:rsidRDefault="00D9450B" w:rsidP="00D9450B">
      <w:pPr>
        <w:jc w:val="center"/>
        <w:rPr>
          <w:rFonts w:ascii="Georgia" w:hAnsi="Georgia"/>
          <w:b/>
          <w:bCs/>
          <w:sz w:val="28"/>
          <w:szCs w:val="28"/>
          <w:lang w:val="ro-RO"/>
        </w:rPr>
      </w:pPr>
    </w:p>
    <w:p w14:paraId="2D8AD83F" w14:textId="75F94AE0" w:rsidR="00DB004F" w:rsidRPr="00DB004F" w:rsidRDefault="00DB004F" w:rsidP="00DB004F">
      <w:pPr>
        <w:jc w:val="both"/>
        <w:rPr>
          <w:rFonts w:ascii="Georgia" w:hAnsi="Georgia"/>
          <w:lang w:val="ro-RO"/>
        </w:rPr>
      </w:pPr>
      <w:r w:rsidRPr="00DB004F">
        <w:rPr>
          <w:rFonts w:ascii="Georgia" w:hAnsi="Georgia"/>
          <w:b/>
          <w:bCs/>
          <w:lang w:val="ro-RO"/>
        </w:rPr>
        <w:t>Institutul European pentru Studii Economice</w:t>
      </w:r>
      <w:r w:rsidRPr="00DB004F">
        <w:rPr>
          <w:rFonts w:ascii="Georgia" w:hAnsi="Georgia"/>
          <w:lang w:val="ro-RO"/>
        </w:rPr>
        <w:t xml:space="preserve"> a publicat un nou raport care analizează provocările și oportunitățile politicii comerciale a Uniunii Europene, subliniind </w:t>
      </w:r>
      <w:r w:rsidRPr="00DB004F">
        <w:rPr>
          <w:rFonts w:ascii="Georgia" w:hAnsi="Georgia"/>
          <w:b/>
          <w:bCs/>
          <w:lang w:val="ro-RO"/>
        </w:rPr>
        <w:t>necesitatea reformării reglementărilor care cresc artificial costurile de producție</w:t>
      </w:r>
      <w:r w:rsidRPr="00DB004F">
        <w:rPr>
          <w:rFonts w:ascii="Georgia" w:hAnsi="Georgia"/>
          <w:lang w:val="ro-RO"/>
        </w:rPr>
        <w:t xml:space="preserve"> și evidențiind beneficiile liberalizării schimburilor comerciale cu </w:t>
      </w:r>
      <w:r w:rsidRPr="00DB004F">
        <w:rPr>
          <w:rFonts w:ascii="Georgia" w:hAnsi="Georgia"/>
          <w:b/>
          <w:bCs/>
          <w:lang w:val="ro-RO"/>
        </w:rPr>
        <w:t>Ucraina și Moldova</w:t>
      </w:r>
      <w:r w:rsidRPr="00DB004F">
        <w:rPr>
          <w:rFonts w:ascii="Georgia" w:hAnsi="Georgia"/>
          <w:lang w:val="ro-RO"/>
        </w:rPr>
        <w:t xml:space="preserve">. Documentul explorează impactul acestor politici asupra economiei românești, cu un accent special pe </w:t>
      </w:r>
      <w:r w:rsidRPr="00DB004F">
        <w:rPr>
          <w:rFonts w:ascii="Georgia" w:hAnsi="Georgia"/>
          <w:b/>
          <w:bCs/>
          <w:lang w:val="ro-RO"/>
        </w:rPr>
        <w:t>agricultură, industrie, suveranitate tehnologică, investiții și relațiile comerciale cu China</w:t>
      </w:r>
      <w:r w:rsidRPr="00DB004F">
        <w:rPr>
          <w:rFonts w:ascii="Georgia" w:hAnsi="Georgia"/>
          <w:lang w:val="ro-RO"/>
        </w:rPr>
        <w:t>.</w:t>
      </w:r>
    </w:p>
    <w:p w14:paraId="4296AA60" w14:textId="77777777" w:rsidR="00DB004F" w:rsidRPr="00DB004F" w:rsidRDefault="00DB004F" w:rsidP="00DB004F">
      <w:pPr>
        <w:jc w:val="both"/>
        <w:rPr>
          <w:rFonts w:ascii="Georgia" w:hAnsi="Georgia"/>
          <w:b/>
          <w:bCs/>
          <w:sz w:val="24"/>
          <w:szCs w:val="24"/>
          <w:lang w:val="ro-RO"/>
        </w:rPr>
      </w:pPr>
      <w:r w:rsidRPr="00DB004F">
        <w:rPr>
          <w:rFonts w:ascii="Georgia" w:hAnsi="Georgia"/>
          <w:b/>
          <w:bCs/>
          <w:sz w:val="24"/>
          <w:szCs w:val="24"/>
          <w:lang w:val="ro-RO"/>
        </w:rPr>
        <w:t>România, între oportunitățile comerțului liber și barierele impuse de reglementări</w:t>
      </w:r>
    </w:p>
    <w:p w14:paraId="2912F546" w14:textId="77777777" w:rsidR="00DB004F" w:rsidRPr="00DB004F" w:rsidRDefault="00DB004F" w:rsidP="00DB004F">
      <w:pPr>
        <w:jc w:val="both"/>
        <w:rPr>
          <w:rFonts w:ascii="Georgia" w:hAnsi="Georgia"/>
          <w:lang w:val="ro-RO"/>
        </w:rPr>
      </w:pPr>
      <w:r w:rsidRPr="00DB004F">
        <w:rPr>
          <w:rFonts w:ascii="Georgia" w:hAnsi="Georgia"/>
          <w:lang w:val="ro-RO"/>
        </w:rPr>
        <w:t xml:space="preserve">România beneficiază de deschiderea piețelor europene prin acordurile comerciale ale UE, dar rămâne dezavantajată de </w:t>
      </w:r>
      <w:r w:rsidRPr="00DB004F">
        <w:rPr>
          <w:rFonts w:ascii="Georgia" w:hAnsi="Georgia"/>
          <w:b/>
          <w:bCs/>
          <w:lang w:val="ro-RO"/>
        </w:rPr>
        <w:t>costurile ridicate impuse de reglementările comunitare</w:t>
      </w:r>
      <w:r w:rsidRPr="00DB004F">
        <w:rPr>
          <w:rFonts w:ascii="Georgia" w:hAnsi="Georgia"/>
          <w:lang w:val="ro-RO"/>
        </w:rPr>
        <w:t xml:space="preserve">, care afectează fermierii, industria și întreprinderile mici și mijlocii. </w:t>
      </w:r>
      <w:r w:rsidRPr="00DB004F">
        <w:rPr>
          <w:rFonts w:ascii="Georgia" w:hAnsi="Georgia"/>
          <w:b/>
          <w:bCs/>
          <w:lang w:val="ro-RO"/>
        </w:rPr>
        <w:t>Comerțul liber cu Ucraina și Moldova este benefic</w:t>
      </w:r>
      <w:r w:rsidRPr="00DB004F">
        <w:rPr>
          <w:rFonts w:ascii="Georgia" w:hAnsi="Georgia"/>
          <w:lang w:val="ro-RO"/>
        </w:rPr>
        <w:t xml:space="preserve">, dar pentru ca economia românească să fie competitivă, este necesară o </w:t>
      </w:r>
      <w:r w:rsidRPr="00DB004F">
        <w:rPr>
          <w:rFonts w:ascii="Georgia" w:hAnsi="Georgia"/>
          <w:b/>
          <w:bCs/>
          <w:lang w:val="ro-RO"/>
        </w:rPr>
        <w:t>reducere a birocrației și o regândire a reglementărilor care cresc costurile de producție</w:t>
      </w:r>
      <w:r w:rsidRPr="00DB004F">
        <w:rPr>
          <w:rFonts w:ascii="Georgia" w:hAnsi="Georgia"/>
          <w:lang w:val="ro-RO"/>
        </w:rPr>
        <w:t>.</w:t>
      </w:r>
    </w:p>
    <w:p w14:paraId="57585472" w14:textId="65516BE7" w:rsidR="00DB004F" w:rsidRPr="00DB004F" w:rsidRDefault="00DB004F" w:rsidP="00DB004F">
      <w:pPr>
        <w:jc w:val="both"/>
        <w:rPr>
          <w:rFonts w:ascii="Georgia" w:hAnsi="Georgia"/>
          <w:b/>
          <w:bCs/>
          <w:sz w:val="24"/>
          <w:szCs w:val="24"/>
          <w:lang w:val="ro-RO"/>
        </w:rPr>
      </w:pPr>
      <w:r w:rsidRPr="00DB004F">
        <w:rPr>
          <w:rFonts w:ascii="Georgia" w:hAnsi="Georgia"/>
          <w:b/>
          <w:bCs/>
          <w:sz w:val="24"/>
          <w:szCs w:val="24"/>
          <w:lang w:val="ro-RO"/>
        </w:rPr>
        <w:t>Agricultura românească și concurența neloială</w:t>
      </w:r>
    </w:p>
    <w:p w14:paraId="72AC8755" w14:textId="77777777" w:rsidR="00DB004F" w:rsidRPr="00DB004F" w:rsidRDefault="00DB004F" w:rsidP="00DB004F">
      <w:pPr>
        <w:jc w:val="both"/>
        <w:rPr>
          <w:rFonts w:ascii="Georgia" w:hAnsi="Georgia"/>
          <w:lang w:val="ro-RO"/>
        </w:rPr>
      </w:pPr>
      <w:r w:rsidRPr="00DB004F">
        <w:rPr>
          <w:rFonts w:ascii="Georgia" w:hAnsi="Georgia"/>
          <w:lang w:val="ro-RO"/>
        </w:rPr>
        <w:t xml:space="preserve">România are </w:t>
      </w:r>
      <w:r w:rsidRPr="00DB004F">
        <w:rPr>
          <w:rFonts w:ascii="Georgia" w:hAnsi="Georgia"/>
          <w:b/>
          <w:bCs/>
          <w:lang w:val="ro-RO"/>
        </w:rPr>
        <w:t>cea mai mare pondere a forței de muncă angajate în agricultură</w:t>
      </w:r>
      <w:r w:rsidRPr="00DB004F">
        <w:rPr>
          <w:rFonts w:ascii="Georgia" w:hAnsi="Georgia"/>
          <w:lang w:val="ro-RO"/>
        </w:rPr>
        <w:t xml:space="preserve"> din UE, cu </w:t>
      </w:r>
      <w:r w:rsidRPr="00DB004F">
        <w:rPr>
          <w:rFonts w:ascii="Georgia" w:hAnsi="Georgia"/>
          <w:b/>
          <w:bCs/>
          <w:lang w:val="ro-RO"/>
        </w:rPr>
        <w:t>23% din total</w:t>
      </w:r>
      <w:r w:rsidRPr="00DB004F">
        <w:rPr>
          <w:rFonts w:ascii="Georgia" w:hAnsi="Georgia"/>
          <w:lang w:val="ro-RO"/>
        </w:rPr>
        <w:t xml:space="preserve">, comparativ cu media europeană de </w:t>
      </w:r>
      <w:r w:rsidRPr="00DB004F">
        <w:rPr>
          <w:rFonts w:ascii="Georgia" w:hAnsi="Georgia"/>
          <w:b/>
          <w:bCs/>
          <w:lang w:val="ro-RO"/>
        </w:rPr>
        <w:t>4,2%</w:t>
      </w:r>
      <w:r w:rsidRPr="00DB004F">
        <w:rPr>
          <w:rFonts w:ascii="Georgia" w:hAnsi="Georgia"/>
          <w:lang w:val="ro-RO"/>
        </w:rPr>
        <w:t xml:space="preserve">. Totodată, </w:t>
      </w:r>
      <w:r w:rsidRPr="00DB004F">
        <w:rPr>
          <w:rFonts w:ascii="Georgia" w:hAnsi="Georgia"/>
          <w:b/>
          <w:bCs/>
          <w:lang w:val="ro-RO"/>
        </w:rPr>
        <w:t>44,3% dintre fermierii români au peste 65 de ani</w:t>
      </w:r>
      <w:r w:rsidRPr="00DB004F">
        <w:rPr>
          <w:rFonts w:ascii="Georgia" w:hAnsi="Georgia"/>
          <w:lang w:val="ro-RO"/>
        </w:rPr>
        <w:t xml:space="preserve">, ceea ce ridică probleme privind </w:t>
      </w:r>
      <w:r w:rsidRPr="00DB004F">
        <w:rPr>
          <w:rFonts w:ascii="Georgia" w:hAnsi="Georgia"/>
          <w:b/>
          <w:bCs/>
          <w:lang w:val="ro-RO"/>
        </w:rPr>
        <w:t>viitorul sustenabilității sectorului</w:t>
      </w:r>
      <w:r w:rsidRPr="00DB004F">
        <w:rPr>
          <w:rFonts w:ascii="Georgia" w:hAnsi="Georgia"/>
          <w:lang w:val="ro-RO"/>
        </w:rPr>
        <w:t xml:space="preserve">. Importurile agricole din Ucraina și Moldova au fost percepute drept o amenințare pentru fermierii români, însă raportul subliniază că problema principală </w:t>
      </w:r>
      <w:r w:rsidRPr="00DB004F">
        <w:rPr>
          <w:rFonts w:ascii="Georgia" w:hAnsi="Georgia"/>
          <w:b/>
          <w:bCs/>
          <w:lang w:val="ro-RO"/>
        </w:rPr>
        <w:t>nu este liberalizarea comerțului</w:t>
      </w:r>
      <w:r w:rsidRPr="00DB004F">
        <w:rPr>
          <w:rFonts w:ascii="Georgia" w:hAnsi="Georgia"/>
          <w:lang w:val="ro-RO"/>
        </w:rPr>
        <w:t xml:space="preserve">, ci </w:t>
      </w:r>
      <w:r w:rsidRPr="00DB004F">
        <w:rPr>
          <w:rFonts w:ascii="Georgia" w:hAnsi="Georgia"/>
          <w:b/>
          <w:bCs/>
          <w:lang w:val="ro-RO"/>
        </w:rPr>
        <w:t>costurile impuse de reglementările excesive ale UE asupra fermierilor europeni</w:t>
      </w:r>
      <w:r w:rsidRPr="00DB004F">
        <w:rPr>
          <w:rFonts w:ascii="Georgia" w:hAnsi="Georgia"/>
          <w:lang w:val="ro-RO"/>
        </w:rPr>
        <w:t>, care îi fac mai puțin competitivi.</w:t>
      </w:r>
    </w:p>
    <w:p w14:paraId="5FD0B3A0" w14:textId="77777777" w:rsidR="00DB004F" w:rsidRPr="00DB004F" w:rsidRDefault="00DB004F" w:rsidP="00DB004F">
      <w:pPr>
        <w:jc w:val="both"/>
        <w:rPr>
          <w:rFonts w:ascii="Georgia" w:hAnsi="Georgia"/>
          <w:lang w:val="ro-RO"/>
        </w:rPr>
      </w:pPr>
      <w:r w:rsidRPr="00DB004F">
        <w:rPr>
          <w:rFonts w:ascii="Georgia" w:hAnsi="Georgia"/>
          <w:lang w:val="ro-RO"/>
        </w:rPr>
        <w:t>„</w:t>
      </w:r>
      <w:r w:rsidRPr="00DB004F">
        <w:rPr>
          <w:rFonts w:ascii="Georgia" w:hAnsi="Georgia"/>
          <w:i/>
          <w:iCs/>
          <w:lang w:val="ro-RO"/>
        </w:rPr>
        <w:t>Nu importurile din Ucraina și Moldova sunt problema reală, ci faptul că producția în UE este mult mai scumpă din cauza unor reguli stricte și a birocrației excesive. În loc să impunem noi restricții comerciale, ar trebui să ne concentrăm pe reducerea costurilor de producție prin reformarea Politicii Agricole Comune și simplificarea conformării cu normele de mediu</w:t>
      </w:r>
      <w:r w:rsidRPr="00DB004F">
        <w:rPr>
          <w:rFonts w:ascii="Georgia" w:hAnsi="Georgia"/>
          <w:lang w:val="ro-RO"/>
        </w:rPr>
        <w:t xml:space="preserve">", a declarat </w:t>
      </w:r>
      <w:r w:rsidRPr="00DB004F">
        <w:rPr>
          <w:rFonts w:ascii="Georgia" w:hAnsi="Georgia"/>
          <w:b/>
          <w:bCs/>
          <w:lang w:val="ro-RO"/>
        </w:rPr>
        <w:t>Diana Năsulea</w:t>
      </w:r>
      <w:r w:rsidRPr="00DB004F">
        <w:rPr>
          <w:rFonts w:ascii="Georgia" w:hAnsi="Georgia"/>
          <w:lang w:val="ro-RO"/>
        </w:rPr>
        <w:t>, co-autoare a raportului.</w:t>
      </w:r>
    </w:p>
    <w:p w14:paraId="6487E2C1" w14:textId="77777777" w:rsidR="00DB004F" w:rsidRPr="00DB004F" w:rsidRDefault="00DB004F" w:rsidP="00DB004F">
      <w:pPr>
        <w:jc w:val="both"/>
        <w:rPr>
          <w:rFonts w:ascii="Georgia" w:hAnsi="Georgia"/>
          <w:lang w:val="ro-RO"/>
        </w:rPr>
      </w:pPr>
      <w:r w:rsidRPr="00DB004F">
        <w:rPr>
          <w:rFonts w:ascii="Georgia" w:hAnsi="Georgia"/>
          <w:lang w:val="ro-RO"/>
        </w:rPr>
        <w:t xml:space="preserve">În acest sens, raportul recomandă </w:t>
      </w:r>
      <w:r w:rsidRPr="00DB004F">
        <w:rPr>
          <w:rFonts w:ascii="Georgia" w:hAnsi="Georgia"/>
          <w:b/>
          <w:bCs/>
          <w:lang w:val="ro-RO"/>
        </w:rPr>
        <w:t>eliminarea treptată a subvențiilor ineficiente</w:t>
      </w:r>
      <w:r w:rsidRPr="00DB004F">
        <w:rPr>
          <w:rFonts w:ascii="Georgia" w:hAnsi="Georgia"/>
          <w:lang w:val="ro-RO"/>
        </w:rPr>
        <w:t>, simplificarea cerințelor de conformitate și promovarea inovației în agricultură, astfel încât fermierii europeni să poată concura echitabil pe piața globală.</w:t>
      </w:r>
    </w:p>
    <w:p w14:paraId="4C12F9F4" w14:textId="77777777" w:rsidR="00DB004F" w:rsidRPr="00DB004F" w:rsidRDefault="00DB004F" w:rsidP="00DB004F">
      <w:pPr>
        <w:jc w:val="both"/>
        <w:rPr>
          <w:rFonts w:ascii="Georgia" w:hAnsi="Georgia"/>
          <w:b/>
          <w:bCs/>
          <w:sz w:val="24"/>
          <w:szCs w:val="24"/>
          <w:lang w:val="ro-RO"/>
        </w:rPr>
      </w:pPr>
      <w:r w:rsidRPr="00DB004F">
        <w:rPr>
          <w:rFonts w:ascii="Georgia" w:hAnsi="Georgia"/>
          <w:b/>
          <w:bCs/>
          <w:sz w:val="24"/>
          <w:szCs w:val="24"/>
          <w:lang w:val="ro-RO"/>
        </w:rPr>
        <w:t>Investițiile străine directe și barierele comerciale</w:t>
      </w:r>
    </w:p>
    <w:p w14:paraId="0F0BD871" w14:textId="77777777" w:rsidR="00DB004F" w:rsidRPr="00DB004F" w:rsidRDefault="00DB004F" w:rsidP="00DB004F">
      <w:pPr>
        <w:jc w:val="both"/>
        <w:rPr>
          <w:rFonts w:ascii="Georgia" w:hAnsi="Georgia"/>
          <w:lang w:val="ro-RO"/>
        </w:rPr>
      </w:pPr>
      <w:r w:rsidRPr="00DB004F">
        <w:rPr>
          <w:rFonts w:ascii="Georgia" w:hAnsi="Georgia"/>
          <w:lang w:val="ro-RO"/>
        </w:rPr>
        <w:t xml:space="preserve">Între </w:t>
      </w:r>
      <w:r w:rsidRPr="00DB004F">
        <w:rPr>
          <w:rFonts w:ascii="Georgia" w:hAnsi="Georgia"/>
          <w:b/>
          <w:bCs/>
          <w:lang w:val="ro-RO"/>
        </w:rPr>
        <w:t>2013 și 2022, România a atras investiții străine în valoare de 107,9 miliarde EUR</w:t>
      </w:r>
      <w:r w:rsidRPr="00DB004F">
        <w:rPr>
          <w:rFonts w:ascii="Georgia" w:hAnsi="Georgia"/>
          <w:lang w:val="ro-RO"/>
        </w:rPr>
        <w:t xml:space="preserve">, înregistrând o creștere de </w:t>
      </w:r>
      <w:r w:rsidRPr="00DB004F">
        <w:rPr>
          <w:rFonts w:ascii="Georgia" w:hAnsi="Georgia"/>
          <w:b/>
          <w:bCs/>
          <w:lang w:val="ro-RO"/>
        </w:rPr>
        <w:t>80%</w:t>
      </w:r>
      <w:r w:rsidRPr="00DB004F">
        <w:rPr>
          <w:rFonts w:ascii="Georgia" w:hAnsi="Georgia"/>
          <w:lang w:val="ro-RO"/>
        </w:rPr>
        <w:t xml:space="preserve">. Cu toate acestea, </w:t>
      </w:r>
      <w:r w:rsidRPr="00DB004F">
        <w:rPr>
          <w:rFonts w:ascii="Georgia" w:hAnsi="Georgia"/>
          <w:b/>
          <w:bCs/>
          <w:lang w:val="ro-RO"/>
        </w:rPr>
        <w:t>birocrația excesivă și costurile ridicate de conformitate</w:t>
      </w:r>
      <w:r w:rsidRPr="00DB004F">
        <w:rPr>
          <w:rFonts w:ascii="Georgia" w:hAnsi="Georgia"/>
          <w:lang w:val="ro-RO"/>
        </w:rPr>
        <w:t xml:space="preserve"> continuă să descurajeze investitorii.</w:t>
      </w:r>
    </w:p>
    <w:p w14:paraId="547B0F83" w14:textId="77777777" w:rsidR="00DB004F" w:rsidRPr="00DB004F" w:rsidRDefault="00DB004F" w:rsidP="00DB004F">
      <w:pPr>
        <w:jc w:val="both"/>
        <w:rPr>
          <w:rFonts w:ascii="Georgia" w:hAnsi="Georgia"/>
          <w:lang w:val="ro-RO"/>
        </w:rPr>
      </w:pPr>
      <w:r w:rsidRPr="00DB004F">
        <w:rPr>
          <w:rFonts w:ascii="Georgia" w:hAnsi="Georgia"/>
          <w:lang w:val="ro-RO"/>
        </w:rPr>
        <w:lastRenderedPageBreak/>
        <w:t>„</w:t>
      </w:r>
      <w:r w:rsidRPr="00DB004F">
        <w:rPr>
          <w:rFonts w:ascii="Georgia" w:hAnsi="Georgia"/>
          <w:i/>
          <w:iCs/>
          <w:lang w:val="ro-RO"/>
        </w:rPr>
        <w:t>România are un potențial semnificativ de creștere economică, dar pentru a atrage mai multe investiții este necesară o reformă profundă a birocrației și a reglementărilor care îngreunează accesul la piață. Investitorii caută predictibilitate și flexibilitate, iar România trebuie să demonstreze că este capabilă să ofere acest mediu economic competitiv</w:t>
      </w:r>
      <w:r w:rsidRPr="00DB004F">
        <w:rPr>
          <w:rFonts w:ascii="Georgia" w:hAnsi="Georgia"/>
          <w:lang w:val="ro-RO"/>
        </w:rPr>
        <w:t xml:space="preserve">,” a declarat </w:t>
      </w:r>
      <w:r w:rsidRPr="00DB004F">
        <w:rPr>
          <w:rFonts w:ascii="Georgia" w:hAnsi="Georgia"/>
          <w:b/>
          <w:bCs/>
          <w:lang w:val="ro-RO"/>
        </w:rPr>
        <w:t>Radu Nechita</w:t>
      </w:r>
      <w:r w:rsidRPr="00DB004F">
        <w:rPr>
          <w:rFonts w:ascii="Georgia" w:hAnsi="Georgia"/>
          <w:lang w:val="ro-RO"/>
        </w:rPr>
        <w:t>, expert în politici economice și co-autor al raportului.</w:t>
      </w:r>
    </w:p>
    <w:p w14:paraId="100EF1BB" w14:textId="03CBC57F" w:rsidR="00DB004F" w:rsidRPr="00DB004F" w:rsidRDefault="00DB004F" w:rsidP="00DB004F">
      <w:pPr>
        <w:jc w:val="both"/>
        <w:rPr>
          <w:rFonts w:ascii="Georgia" w:hAnsi="Georgia"/>
          <w:lang w:val="ro-RO"/>
        </w:rPr>
      </w:pPr>
      <w:r w:rsidRPr="00DB004F">
        <w:rPr>
          <w:rFonts w:ascii="Georgia" w:hAnsi="Georgia"/>
          <w:lang w:val="ro-RO"/>
        </w:rPr>
        <w:t xml:space="preserve">În același timp, negocierile privind </w:t>
      </w:r>
      <w:r w:rsidRPr="00DB004F">
        <w:rPr>
          <w:rFonts w:ascii="Georgia" w:hAnsi="Georgia"/>
          <w:b/>
          <w:bCs/>
          <w:lang w:val="ro-RO"/>
        </w:rPr>
        <w:t>acordurile comerciale ale UE  SUA și Australia</w:t>
      </w:r>
      <w:r w:rsidRPr="00DB004F">
        <w:rPr>
          <w:rFonts w:ascii="Georgia" w:hAnsi="Georgia"/>
          <w:lang w:val="ro-RO"/>
        </w:rPr>
        <w:t xml:space="preserve"> sunt îngreunate de </w:t>
      </w:r>
      <w:r w:rsidRPr="00DB004F">
        <w:rPr>
          <w:rFonts w:ascii="Georgia" w:hAnsi="Georgia"/>
          <w:b/>
          <w:bCs/>
          <w:lang w:val="ro-RO"/>
        </w:rPr>
        <w:t>opoziția unor state membre și de tendințele protecționiste</w:t>
      </w:r>
      <w:r w:rsidRPr="00DB004F">
        <w:rPr>
          <w:rFonts w:ascii="Georgia" w:hAnsi="Georgia"/>
          <w:lang w:val="ro-RO"/>
        </w:rPr>
        <w:t>.</w:t>
      </w:r>
      <w:r>
        <w:rPr>
          <w:rFonts w:ascii="Georgia" w:hAnsi="Georgia"/>
          <w:lang w:val="ro-RO"/>
        </w:rPr>
        <w:t xml:space="preserve"> Acordul cu Mercosur a fost semnat, însă ratificarea va dura probabil câțiva ani.</w:t>
      </w:r>
      <w:r w:rsidRPr="00DB004F">
        <w:rPr>
          <w:rFonts w:ascii="Georgia" w:hAnsi="Georgia"/>
          <w:lang w:val="ro-RO"/>
        </w:rPr>
        <w:t xml:space="preserve"> Acest lucru afectează oportunitățile comerciale pentru companiile românești, care au nevoie de </w:t>
      </w:r>
      <w:r w:rsidRPr="00DB004F">
        <w:rPr>
          <w:rFonts w:ascii="Georgia" w:hAnsi="Georgia"/>
          <w:b/>
          <w:bCs/>
          <w:lang w:val="ro-RO"/>
        </w:rPr>
        <w:t>acces extins la piețele globale</w:t>
      </w:r>
      <w:r w:rsidRPr="00DB004F">
        <w:rPr>
          <w:rFonts w:ascii="Georgia" w:hAnsi="Georgia"/>
          <w:lang w:val="ro-RO"/>
        </w:rPr>
        <w:t xml:space="preserve"> pentru a-și crește competitivitatea.</w:t>
      </w:r>
    </w:p>
    <w:p w14:paraId="285C3DF2" w14:textId="77777777" w:rsidR="00DB004F" w:rsidRPr="00DB004F" w:rsidRDefault="00DB004F" w:rsidP="00DB004F">
      <w:pPr>
        <w:jc w:val="both"/>
        <w:rPr>
          <w:rFonts w:ascii="Georgia" w:hAnsi="Georgia"/>
          <w:b/>
          <w:bCs/>
          <w:sz w:val="24"/>
          <w:szCs w:val="24"/>
          <w:lang w:val="ro-RO"/>
        </w:rPr>
      </w:pPr>
      <w:r w:rsidRPr="00DB004F">
        <w:rPr>
          <w:rFonts w:ascii="Georgia" w:hAnsi="Georgia"/>
          <w:b/>
          <w:bCs/>
          <w:sz w:val="24"/>
          <w:szCs w:val="24"/>
          <w:lang w:val="ro-RO"/>
        </w:rPr>
        <w:t>Relațiile comerciale UE-China și riscurile pentru economia europeană</w:t>
      </w:r>
    </w:p>
    <w:p w14:paraId="75C12A6D" w14:textId="77777777" w:rsidR="00DB004F" w:rsidRPr="00DB004F" w:rsidRDefault="00DB004F" w:rsidP="00DB004F">
      <w:pPr>
        <w:jc w:val="both"/>
        <w:rPr>
          <w:rFonts w:ascii="Georgia" w:hAnsi="Georgia"/>
          <w:lang w:val="ro-RO"/>
        </w:rPr>
      </w:pPr>
      <w:r w:rsidRPr="00DB004F">
        <w:rPr>
          <w:rFonts w:ascii="Georgia" w:hAnsi="Georgia"/>
          <w:lang w:val="ro-RO"/>
        </w:rPr>
        <w:t xml:space="preserve">În 2023, comerțul dintre </w:t>
      </w:r>
      <w:r w:rsidRPr="00DB004F">
        <w:rPr>
          <w:rFonts w:ascii="Georgia" w:hAnsi="Georgia"/>
          <w:b/>
          <w:bCs/>
          <w:lang w:val="ro-RO"/>
        </w:rPr>
        <w:t>Uniunea Europeană și China</w:t>
      </w:r>
      <w:r w:rsidRPr="00DB004F">
        <w:rPr>
          <w:rFonts w:ascii="Georgia" w:hAnsi="Georgia"/>
          <w:lang w:val="ro-RO"/>
        </w:rPr>
        <w:t xml:space="preserve"> a atins 739 de miliarde de euro, China fiind cel mai mare partener al UE pentru importuri și al treilea pentru exporturi. Cu toate acestea, raportul atrage atenția asupra dezechilibrelor comerciale și a </w:t>
      </w:r>
      <w:r w:rsidRPr="00DB004F">
        <w:rPr>
          <w:rFonts w:ascii="Georgia" w:hAnsi="Georgia"/>
          <w:b/>
          <w:bCs/>
          <w:lang w:val="ro-RO"/>
        </w:rPr>
        <w:t>practicilor protecționiste ale Chinei</w:t>
      </w:r>
      <w:r w:rsidRPr="00DB004F">
        <w:rPr>
          <w:rFonts w:ascii="Georgia" w:hAnsi="Georgia"/>
          <w:lang w:val="ro-RO"/>
        </w:rPr>
        <w:t>, care oferă subvenții masive industriei auto, producției de baterii și sectorului telecomunicațiilor, punând companiile europene într-un dezavantaj competitiv.</w:t>
      </w:r>
    </w:p>
    <w:p w14:paraId="0E859CAC" w14:textId="77777777" w:rsidR="00DB004F" w:rsidRPr="00DB004F" w:rsidRDefault="00DB004F" w:rsidP="00DB004F">
      <w:pPr>
        <w:jc w:val="both"/>
        <w:rPr>
          <w:rFonts w:ascii="Georgia" w:hAnsi="Georgia"/>
          <w:lang w:val="ro-RO"/>
        </w:rPr>
      </w:pPr>
      <w:r w:rsidRPr="00DB004F">
        <w:rPr>
          <w:rFonts w:ascii="Georgia" w:hAnsi="Georgia"/>
          <w:lang w:val="ro-RO"/>
        </w:rPr>
        <w:t xml:space="preserve">UE a răspuns prin impunerea </w:t>
      </w:r>
      <w:r w:rsidRPr="00DB004F">
        <w:rPr>
          <w:rFonts w:ascii="Georgia" w:hAnsi="Georgia"/>
          <w:b/>
          <w:bCs/>
          <w:lang w:val="ro-RO"/>
        </w:rPr>
        <w:t>taxelor vamale de până la 35,3%</w:t>
      </w:r>
      <w:r w:rsidRPr="00DB004F">
        <w:rPr>
          <w:rFonts w:ascii="Georgia" w:hAnsi="Georgia"/>
          <w:lang w:val="ro-RO"/>
        </w:rPr>
        <w:t xml:space="preserve"> pentru anumite modele de vehicule electrice chinezești, ca măsură de protecție a producătorilor europeni. Cu toate acestea, această decizie a fost criticată de Germania și Spania, care se tem de un posibil război comercial cu China.</w:t>
      </w:r>
    </w:p>
    <w:p w14:paraId="36D83CBD" w14:textId="77777777" w:rsidR="00DB004F" w:rsidRPr="00DB004F" w:rsidRDefault="00DB004F" w:rsidP="00DB004F">
      <w:pPr>
        <w:jc w:val="both"/>
        <w:rPr>
          <w:rFonts w:ascii="Georgia" w:hAnsi="Georgia"/>
          <w:lang w:val="ro-RO"/>
        </w:rPr>
      </w:pPr>
      <w:r w:rsidRPr="00DB004F">
        <w:rPr>
          <w:rFonts w:ascii="Georgia" w:hAnsi="Georgia"/>
          <w:lang w:val="ro-RO"/>
        </w:rPr>
        <w:t>„</w:t>
      </w:r>
      <w:r w:rsidRPr="00DB004F">
        <w:rPr>
          <w:rFonts w:ascii="Georgia" w:hAnsi="Georgia"/>
          <w:i/>
          <w:iCs/>
          <w:lang w:val="ro-RO"/>
        </w:rPr>
        <w:t>România trebuie să fie atentă la aceste politici, deoarece dependența UE de China pentru materii prime critice și tehnologii de energie verde poate afecta industria locală. Europa trebuie să își diversifice sursele de aprovizionare și să încurajeze producția regională pentru a evita dependența excesivă de Beijing</w:t>
      </w:r>
      <w:r w:rsidRPr="00DB004F">
        <w:rPr>
          <w:rFonts w:ascii="Georgia" w:hAnsi="Georgia"/>
          <w:lang w:val="ro-RO"/>
        </w:rPr>
        <w:t xml:space="preserve">", a explicat </w:t>
      </w:r>
      <w:r w:rsidRPr="00DB004F">
        <w:rPr>
          <w:rFonts w:ascii="Georgia" w:hAnsi="Georgia"/>
          <w:b/>
          <w:bCs/>
          <w:lang w:val="ro-RO"/>
        </w:rPr>
        <w:t>Christian Năsulea</w:t>
      </w:r>
      <w:r w:rsidRPr="00DB004F">
        <w:rPr>
          <w:rFonts w:ascii="Georgia" w:hAnsi="Georgia"/>
          <w:lang w:val="ro-RO"/>
        </w:rPr>
        <w:t>, co-autor al raportului.</w:t>
      </w:r>
    </w:p>
    <w:p w14:paraId="209EF8BA" w14:textId="1D0EB3C4" w:rsidR="00DB004F" w:rsidRPr="00DB004F" w:rsidRDefault="00DB004F" w:rsidP="00DB004F">
      <w:pPr>
        <w:jc w:val="both"/>
        <w:rPr>
          <w:rFonts w:ascii="Georgia" w:hAnsi="Georgia"/>
          <w:lang w:val="ro-RO"/>
        </w:rPr>
      </w:pPr>
      <w:r w:rsidRPr="00DB004F">
        <w:rPr>
          <w:rFonts w:ascii="Georgia" w:hAnsi="Georgia"/>
          <w:lang w:val="ro-RO"/>
        </w:rPr>
        <w:t xml:space="preserve">Raportul recomandă consolidarea parteneriatelor cu țări precum </w:t>
      </w:r>
      <w:r w:rsidRPr="00DB004F">
        <w:rPr>
          <w:rFonts w:ascii="Georgia" w:hAnsi="Georgia"/>
          <w:b/>
          <w:bCs/>
          <w:lang w:val="ro-RO"/>
        </w:rPr>
        <w:t>Taiwan</w:t>
      </w:r>
      <w:r>
        <w:rPr>
          <w:rFonts w:ascii="Georgia" w:hAnsi="Georgia"/>
          <w:lang w:val="ro-RO"/>
        </w:rPr>
        <w:t xml:space="preserve">, </w:t>
      </w:r>
      <w:r w:rsidRPr="00DB004F">
        <w:rPr>
          <w:rFonts w:ascii="Georgia" w:hAnsi="Georgia"/>
          <w:b/>
          <w:bCs/>
          <w:lang w:val="ro-RO"/>
        </w:rPr>
        <w:t>Australia, Brazilia și Canada</w:t>
      </w:r>
      <w:r w:rsidRPr="00DB004F">
        <w:rPr>
          <w:rFonts w:ascii="Georgia" w:hAnsi="Georgia"/>
          <w:lang w:val="ro-RO"/>
        </w:rPr>
        <w:t xml:space="preserve">, pentru a reduce dependența de China și pentru a crea </w:t>
      </w:r>
      <w:r w:rsidRPr="00DB004F">
        <w:rPr>
          <w:rFonts w:ascii="Georgia" w:hAnsi="Georgia"/>
          <w:b/>
          <w:bCs/>
          <w:lang w:val="ro-RO"/>
        </w:rPr>
        <w:t>lanțuri de aprovizionare mai reziliente</w:t>
      </w:r>
      <w:r w:rsidRPr="00DB004F">
        <w:rPr>
          <w:rFonts w:ascii="Georgia" w:hAnsi="Georgia"/>
          <w:lang w:val="ro-RO"/>
        </w:rPr>
        <w:t>.</w:t>
      </w:r>
    </w:p>
    <w:p w14:paraId="0DB8B7CA" w14:textId="77777777" w:rsidR="00DB004F" w:rsidRPr="00DB004F" w:rsidRDefault="00DB004F" w:rsidP="00DB004F">
      <w:pPr>
        <w:jc w:val="both"/>
        <w:rPr>
          <w:rFonts w:ascii="Georgia" w:hAnsi="Georgia"/>
          <w:b/>
          <w:bCs/>
          <w:sz w:val="24"/>
          <w:szCs w:val="24"/>
          <w:lang w:val="ro-RO"/>
        </w:rPr>
      </w:pPr>
      <w:r w:rsidRPr="00DB004F">
        <w:rPr>
          <w:rFonts w:ascii="Georgia" w:hAnsi="Georgia"/>
          <w:b/>
          <w:bCs/>
          <w:sz w:val="24"/>
          <w:szCs w:val="24"/>
          <w:lang w:val="ro-RO"/>
        </w:rPr>
        <w:t>Concluzie: Reforma reglementărilor pentru o economie mai competitivă</w:t>
      </w:r>
    </w:p>
    <w:p w14:paraId="026F670D" w14:textId="759BCA70" w:rsidR="00DB004F" w:rsidRPr="00DB004F" w:rsidRDefault="00DB004F" w:rsidP="00DB004F">
      <w:pPr>
        <w:jc w:val="both"/>
        <w:rPr>
          <w:rFonts w:ascii="Georgia" w:hAnsi="Georgia"/>
          <w:lang w:val="ro-RO"/>
        </w:rPr>
      </w:pPr>
      <w:r w:rsidRPr="00DB004F">
        <w:rPr>
          <w:rFonts w:ascii="Georgia" w:hAnsi="Georgia"/>
          <w:lang w:val="ro-RO"/>
        </w:rPr>
        <w:t xml:space="preserve">Raportul subliniază că </w:t>
      </w:r>
      <w:r w:rsidRPr="00DB004F">
        <w:rPr>
          <w:rFonts w:ascii="Georgia" w:hAnsi="Georgia"/>
          <w:b/>
          <w:bCs/>
          <w:lang w:val="ro-RO"/>
        </w:rPr>
        <w:t>problema reală a Uniunii Europene nu este comerțul liber</w:t>
      </w:r>
      <w:r w:rsidR="00D52DB2">
        <w:rPr>
          <w:rFonts w:ascii="Georgia" w:hAnsi="Georgia"/>
          <w:b/>
          <w:bCs/>
          <w:lang w:val="ro-RO"/>
        </w:rPr>
        <w:t xml:space="preserve"> cu </w:t>
      </w:r>
      <w:r w:rsidR="00A757B0">
        <w:rPr>
          <w:rFonts w:ascii="Georgia" w:hAnsi="Georgia"/>
          <w:b/>
          <w:bCs/>
          <w:lang w:val="ro-RO"/>
        </w:rPr>
        <w:t>țări din afara sa</w:t>
      </w:r>
      <w:r w:rsidR="00C47608">
        <w:rPr>
          <w:rFonts w:ascii="Georgia" w:hAnsi="Georgia"/>
          <w:b/>
          <w:bCs/>
          <w:lang w:val="ro-RO"/>
        </w:rPr>
        <w:t>,</w:t>
      </w:r>
      <w:r w:rsidRPr="00DB004F">
        <w:rPr>
          <w:rFonts w:ascii="Georgia" w:hAnsi="Georgia"/>
          <w:b/>
          <w:bCs/>
          <w:lang w:val="ro-RO"/>
        </w:rPr>
        <w:t xml:space="preserve"> ci costurile ridicate de producție generate de reglementările excesive</w:t>
      </w:r>
      <w:r w:rsidRPr="00DB004F">
        <w:rPr>
          <w:rFonts w:ascii="Georgia" w:hAnsi="Georgia"/>
          <w:lang w:val="ro-RO"/>
        </w:rPr>
        <w:t xml:space="preserve">. În loc să se opună liberalizării piețelor, UE ar trebui să </w:t>
      </w:r>
      <w:r w:rsidRPr="00DB004F">
        <w:rPr>
          <w:rFonts w:ascii="Georgia" w:hAnsi="Georgia"/>
          <w:b/>
          <w:bCs/>
          <w:lang w:val="ro-RO"/>
        </w:rPr>
        <w:t>simplifice cadrul legislativ și să elimine barierele administrative care afectează competitivitatea fermierilor și a industriei europene</w:t>
      </w:r>
      <w:r w:rsidRPr="00DB004F">
        <w:rPr>
          <w:rFonts w:ascii="Georgia" w:hAnsi="Georgia"/>
          <w:lang w:val="ro-RO"/>
        </w:rPr>
        <w:t>.</w:t>
      </w:r>
    </w:p>
    <w:p w14:paraId="06D106B6" w14:textId="77777777" w:rsidR="00DB004F" w:rsidRPr="00DB004F" w:rsidRDefault="00DB004F" w:rsidP="00DB004F">
      <w:pPr>
        <w:jc w:val="both"/>
        <w:rPr>
          <w:rFonts w:ascii="Georgia" w:hAnsi="Georgia"/>
          <w:lang w:val="ro-RO"/>
        </w:rPr>
      </w:pPr>
      <w:r w:rsidRPr="00DB004F">
        <w:rPr>
          <w:rFonts w:ascii="Georgia" w:hAnsi="Georgia"/>
          <w:lang w:val="ro-RO"/>
        </w:rPr>
        <w:t xml:space="preserve">Pentru România, viitorul politicii comerciale europene aduce </w:t>
      </w:r>
      <w:r w:rsidRPr="00DB004F">
        <w:rPr>
          <w:rFonts w:ascii="Georgia" w:hAnsi="Georgia"/>
          <w:b/>
          <w:bCs/>
          <w:lang w:val="ro-RO"/>
        </w:rPr>
        <w:t>atât oportunități, cât și riscuri</w:t>
      </w:r>
      <w:r w:rsidRPr="00DB004F">
        <w:rPr>
          <w:rFonts w:ascii="Georgia" w:hAnsi="Georgia"/>
          <w:lang w:val="ro-RO"/>
        </w:rPr>
        <w:t xml:space="preserve">. Liberalizarea comerțului poate stimula creșterea economică și atragerea de investiții, însă fără o reformă a reglementărilor interne, companiile românești vor rămâne într-un </w:t>
      </w:r>
      <w:r w:rsidRPr="00DB004F">
        <w:rPr>
          <w:rFonts w:ascii="Georgia" w:hAnsi="Georgia"/>
          <w:b/>
          <w:bCs/>
          <w:lang w:val="ro-RO"/>
        </w:rPr>
        <w:t>dezavantaj competitiv</w:t>
      </w:r>
      <w:r w:rsidRPr="00DB004F">
        <w:rPr>
          <w:rFonts w:ascii="Georgia" w:hAnsi="Georgia"/>
          <w:lang w:val="ro-RO"/>
        </w:rPr>
        <w:t>.</w:t>
      </w:r>
    </w:p>
    <w:p w14:paraId="1BFB354F" w14:textId="77777777" w:rsidR="00DB004F" w:rsidRPr="00DB004F" w:rsidRDefault="00DB004F" w:rsidP="00DB004F">
      <w:pPr>
        <w:jc w:val="both"/>
        <w:rPr>
          <w:rFonts w:ascii="Georgia" w:hAnsi="Georgia"/>
          <w:lang w:val="ro-RO"/>
        </w:rPr>
      </w:pPr>
      <w:r w:rsidRPr="00DB004F">
        <w:rPr>
          <w:rFonts w:ascii="Georgia" w:hAnsi="Georgia"/>
          <w:lang w:val="ro-RO"/>
        </w:rPr>
        <w:t xml:space="preserve">Raportul </w:t>
      </w:r>
      <w:r w:rsidRPr="00DB004F">
        <w:rPr>
          <w:rFonts w:ascii="Georgia" w:hAnsi="Georgia"/>
          <w:b/>
          <w:bCs/>
          <w:lang w:val="ro-RO"/>
        </w:rPr>
        <w:t>Institutului European pentru Studii Economice</w:t>
      </w:r>
      <w:r w:rsidRPr="00DB004F">
        <w:rPr>
          <w:rFonts w:ascii="Georgia" w:hAnsi="Georgia"/>
          <w:lang w:val="ro-RO"/>
        </w:rPr>
        <w:t xml:space="preserve"> este disponibil online și poate fi consultat de factori de decizie politică, reprezentanți ai mediului de afaceri și specialiști interesați de viitorul politicii comerciale a Uniunii Europene și implicațiile pentru România.</w:t>
      </w:r>
    </w:p>
    <w:p w14:paraId="6944F6E3" w14:textId="77AB41B1" w:rsidR="0057424B" w:rsidRPr="0057424B" w:rsidRDefault="0057424B" w:rsidP="0057424B">
      <w:pPr>
        <w:jc w:val="both"/>
        <w:rPr>
          <w:rFonts w:ascii="Georgia" w:hAnsi="Georgia" w:cs="Times New Roman"/>
          <w:sz w:val="24"/>
          <w:szCs w:val="24"/>
          <w:lang w:val="ro-RO"/>
        </w:rPr>
      </w:pPr>
      <w:r w:rsidRPr="0057424B">
        <w:rPr>
          <w:rFonts w:ascii="Georgia" w:hAnsi="Georgia" w:cs="Times New Roman"/>
          <w:sz w:val="24"/>
          <w:szCs w:val="24"/>
          <w:lang w:val="ro-RO"/>
        </w:rPr>
        <w:lastRenderedPageBreak/>
        <w:t>Raportul integral poate fi accesat la</w:t>
      </w:r>
      <w:r w:rsidR="00272CA8">
        <w:rPr>
          <w:rFonts w:ascii="Georgia" w:hAnsi="Georgia" w:cs="Times New Roman"/>
          <w:sz w:val="24"/>
          <w:szCs w:val="24"/>
          <w:lang w:val="ro-RO"/>
        </w:rPr>
        <w:t xml:space="preserve"> adresa</w:t>
      </w:r>
      <w:r w:rsidRPr="0057424B">
        <w:rPr>
          <w:rFonts w:ascii="Georgia" w:hAnsi="Georgia" w:cs="Times New Roman"/>
          <w:sz w:val="24"/>
          <w:szCs w:val="24"/>
          <w:lang w:val="ro-RO"/>
        </w:rPr>
        <w:t xml:space="preserve">: </w:t>
      </w:r>
    </w:p>
    <w:p w14:paraId="0D29533E" w14:textId="5BC48365" w:rsidR="0057424B" w:rsidRDefault="0020087D" w:rsidP="0057424B">
      <w:pPr>
        <w:jc w:val="both"/>
        <w:rPr>
          <w:rFonts w:ascii="Georgia" w:hAnsi="Georgia" w:cs="Times New Roman"/>
          <w:sz w:val="24"/>
          <w:szCs w:val="24"/>
          <w:lang w:val="ro-RO"/>
        </w:rPr>
      </w:pPr>
      <w:hyperlink r:id="rId6" w:history="1">
        <w:r w:rsidRPr="00E540BD">
          <w:rPr>
            <w:rStyle w:val="Hyperlink"/>
            <w:rFonts w:ascii="Georgia" w:hAnsi="Georgia" w:cs="Times New Roman"/>
            <w:sz w:val="24"/>
            <w:szCs w:val="24"/>
            <w:lang w:val="ro-RO"/>
          </w:rPr>
          <w:t>https://ies-europe.ro/studii/2025_C2_Comert_Liber_si_Competitivitate.pdf</w:t>
        </w:r>
      </w:hyperlink>
    </w:p>
    <w:p w14:paraId="4A246942" w14:textId="77777777" w:rsidR="0020087D" w:rsidRPr="0057424B" w:rsidRDefault="0020087D" w:rsidP="0057424B">
      <w:pPr>
        <w:jc w:val="both"/>
        <w:rPr>
          <w:rFonts w:ascii="Georgia" w:hAnsi="Georgia" w:cs="Times New Roman"/>
          <w:sz w:val="24"/>
          <w:szCs w:val="24"/>
          <w:lang w:val="ro-RO"/>
        </w:rPr>
      </w:pPr>
    </w:p>
    <w:p w14:paraId="056B1B7D" w14:textId="77777777" w:rsidR="0057424B" w:rsidRPr="0057424B" w:rsidRDefault="0057424B" w:rsidP="0057424B">
      <w:pPr>
        <w:jc w:val="both"/>
        <w:rPr>
          <w:rFonts w:ascii="Georgia" w:hAnsi="Georgia" w:cs="Times New Roman"/>
          <w:sz w:val="24"/>
          <w:szCs w:val="24"/>
          <w:lang w:val="ro-RO"/>
        </w:rPr>
      </w:pPr>
      <w:r w:rsidRPr="0057424B">
        <w:rPr>
          <w:rFonts w:ascii="Georgia" w:hAnsi="Georgia" w:cs="Times New Roman"/>
          <w:sz w:val="24"/>
          <w:szCs w:val="24"/>
          <w:lang w:val="ro-RO"/>
        </w:rPr>
        <w:t>Pentru detalii suplimentare și interviuri, vă rugăm să contactați:</w:t>
      </w:r>
    </w:p>
    <w:p w14:paraId="790A3318" w14:textId="77777777" w:rsidR="0057424B" w:rsidRPr="0057424B" w:rsidRDefault="0057424B" w:rsidP="0057424B">
      <w:pPr>
        <w:jc w:val="both"/>
        <w:rPr>
          <w:rFonts w:ascii="Georgia" w:hAnsi="Georgia" w:cs="Times New Roman"/>
          <w:b/>
          <w:bCs/>
          <w:sz w:val="24"/>
          <w:szCs w:val="24"/>
          <w:lang w:val="ro-RO"/>
        </w:rPr>
      </w:pPr>
      <w:r w:rsidRPr="0057424B">
        <w:rPr>
          <w:rFonts w:ascii="Georgia" w:hAnsi="Georgia" w:cs="Times New Roman"/>
          <w:b/>
          <w:bCs/>
          <w:sz w:val="24"/>
          <w:szCs w:val="24"/>
          <w:lang w:val="ro-RO"/>
        </w:rPr>
        <w:t>Christian Năsulea</w:t>
      </w:r>
    </w:p>
    <w:p w14:paraId="175711C3" w14:textId="31F2B628" w:rsidR="0057424B" w:rsidRPr="0057424B" w:rsidRDefault="0057424B" w:rsidP="0057424B">
      <w:pPr>
        <w:jc w:val="both"/>
        <w:rPr>
          <w:rFonts w:ascii="Georgia" w:hAnsi="Georgia" w:cs="Times New Roman"/>
          <w:b/>
          <w:bCs/>
          <w:sz w:val="24"/>
          <w:szCs w:val="24"/>
          <w:lang w:val="ro-RO"/>
        </w:rPr>
      </w:pPr>
      <w:r w:rsidRPr="0057424B">
        <w:rPr>
          <w:rFonts w:ascii="Georgia" w:hAnsi="Georgia" w:cs="Times New Roman"/>
          <w:b/>
          <w:bCs/>
          <w:sz w:val="24"/>
          <w:szCs w:val="24"/>
          <w:lang w:val="ro-RO"/>
        </w:rPr>
        <w:t>0730</w:t>
      </w:r>
      <w:r w:rsidR="0020087D">
        <w:rPr>
          <w:rFonts w:ascii="Georgia" w:hAnsi="Georgia" w:cs="Times New Roman"/>
          <w:b/>
          <w:bCs/>
          <w:sz w:val="24"/>
          <w:szCs w:val="24"/>
          <w:lang w:val="ro-RO"/>
        </w:rPr>
        <w:t>.</w:t>
      </w:r>
      <w:r w:rsidRPr="0057424B">
        <w:rPr>
          <w:rFonts w:ascii="Georgia" w:hAnsi="Georgia" w:cs="Times New Roman"/>
          <w:b/>
          <w:bCs/>
          <w:sz w:val="24"/>
          <w:szCs w:val="24"/>
          <w:lang w:val="ro-RO"/>
        </w:rPr>
        <w:t>801</w:t>
      </w:r>
      <w:r w:rsidR="0020087D">
        <w:rPr>
          <w:rFonts w:ascii="Georgia" w:hAnsi="Georgia" w:cs="Times New Roman"/>
          <w:b/>
          <w:bCs/>
          <w:sz w:val="24"/>
          <w:szCs w:val="24"/>
          <w:lang w:val="ro-RO"/>
        </w:rPr>
        <w:t>.</w:t>
      </w:r>
      <w:r w:rsidRPr="0057424B">
        <w:rPr>
          <w:rFonts w:ascii="Georgia" w:hAnsi="Georgia" w:cs="Times New Roman"/>
          <w:b/>
          <w:bCs/>
          <w:sz w:val="24"/>
          <w:szCs w:val="24"/>
          <w:lang w:val="ro-RO"/>
        </w:rPr>
        <w:t>000</w:t>
      </w:r>
    </w:p>
    <w:p w14:paraId="02512B01" w14:textId="77777777" w:rsidR="0057424B" w:rsidRPr="0057424B" w:rsidRDefault="0057424B" w:rsidP="0057424B">
      <w:pPr>
        <w:jc w:val="both"/>
        <w:rPr>
          <w:rFonts w:ascii="Georgia" w:hAnsi="Georgia" w:cs="Times New Roman"/>
          <w:sz w:val="24"/>
          <w:szCs w:val="24"/>
          <w:lang w:val="ro-RO"/>
        </w:rPr>
      </w:pPr>
      <w:r w:rsidRPr="0057424B">
        <w:rPr>
          <w:rFonts w:ascii="Georgia" w:hAnsi="Georgia" w:cs="Times New Roman"/>
          <w:b/>
          <w:bCs/>
          <w:sz w:val="24"/>
          <w:szCs w:val="24"/>
          <w:lang w:val="ro-RO"/>
        </w:rPr>
        <w:t>christian@nasulea.ro</w:t>
      </w:r>
    </w:p>
    <w:p w14:paraId="758D05E5" w14:textId="77777777" w:rsidR="00D579D4" w:rsidRPr="0057424B" w:rsidRDefault="00D579D4" w:rsidP="00DB004F">
      <w:pPr>
        <w:jc w:val="both"/>
        <w:rPr>
          <w:rFonts w:ascii="Georgia" w:hAnsi="Georgia"/>
          <w:lang w:val="ro-RO"/>
        </w:rPr>
      </w:pPr>
    </w:p>
    <w:sectPr w:rsidR="00D579D4" w:rsidRPr="0057424B" w:rsidSect="00272CA8">
      <w:head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A99BC" w14:textId="77777777" w:rsidR="00272CA8" w:rsidRDefault="00272CA8" w:rsidP="00272CA8">
      <w:pPr>
        <w:spacing w:after="0" w:line="240" w:lineRule="auto"/>
      </w:pPr>
      <w:r>
        <w:separator/>
      </w:r>
    </w:p>
  </w:endnote>
  <w:endnote w:type="continuationSeparator" w:id="0">
    <w:p w14:paraId="42BE99F8" w14:textId="77777777" w:rsidR="00272CA8" w:rsidRDefault="00272CA8" w:rsidP="0027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38CF" w14:textId="77777777" w:rsidR="00272CA8" w:rsidRDefault="00272CA8" w:rsidP="00272CA8">
      <w:pPr>
        <w:spacing w:after="0" w:line="240" w:lineRule="auto"/>
      </w:pPr>
      <w:r>
        <w:separator/>
      </w:r>
    </w:p>
  </w:footnote>
  <w:footnote w:type="continuationSeparator" w:id="0">
    <w:p w14:paraId="7A855788" w14:textId="77777777" w:rsidR="00272CA8" w:rsidRDefault="00272CA8" w:rsidP="0027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0D98" w14:textId="77777777" w:rsidR="00272CA8" w:rsidRPr="001F6B53" w:rsidRDefault="00272CA8" w:rsidP="00272CA8">
    <w:pPr>
      <w:pStyle w:val="Antetisubsol"/>
      <w:spacing w:before="60"/>
      <w:rPr>
        <w:lang w:val="ro-RO"/>
      </w:rPr>
    </w:pPr>
    <w:r w:rsidRPr="001F6B53">
      <w:rPr>
        <w:rFonts w:ascii="Calibri" w:hAnsi="Calibri" w:cs="Calibri"/>
        <w:b/>
        <w:bCs/>
        <w:noProof/>
        <w:color w:val="595959" w:themeColor="text1" w:themeTint="A6"/>
        <w:lang w:val="ro-RO"/>
      </w:rPr>
      <w:drawing>
        <wp:anchor distT="0" distB="0" distL="114300" distR="114300" simplePos="0" relativeHeight="251660288" behindDoc="0" locked="0" layoutInCell="1" allowOverlap="1" wp14:anchorId="481AE87F" wp14:editId="4B562867">
          <wp:simplePos x="0" y="0"/>
          <wp:positionH relativeFrom="margin">
            <wp:align>right</wp:align>
          </wp:positionH>
          <wp:positionV relativeFrom="paragraph">
            <wp:posOffset>0</wp:posOffset>
          </wp:positionV>
          <wp:extent cx="1956435" cy="4572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435" cy="457200"/>
                  </a:xfrm>
                  <a:prstGeom prst="rect">
                    <a:avLst/>
                  </a:prstGeom>
                  <a:noFill/>
                  <a:ln>
                    <a:noFill/>
                  </a:ln>
                </pic:spPr>
              </pic:pic>
            </a:graphicData>
          </a:graphic>
        </wp:anchor>
      </w:drawing>
    </w:r>
    <w:r w:rsidRPr="001F6B53">
      <w:rPr>
        <w:noProof/>
        <w:lang w:val="ro-RO"/>
      </w:rPr>
      <w:drawing>
        <wp:anchor distT="0" distB="0" distL="114300" distR="114300" simplePos="0" relativeHeight="251659264" behindDoc="0" locked="0" layoutInCell="1" allowOverlap="1" wp14:anchorId="4358D035" wp14:editId="41386476">
          <wp:simplePos x="0" y="0"/>
          <wp:positionH relativeFrom="column">
            <wp:posOffset>0</wp:posOffset>
          </wp:positionH>
          <wp:positionV relativeFrom="paragraph">
            <wp:posOffset>0</wp:posOffset>
          </wp:positionV>
          <wp:extent cx="457200" cy="45720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r w:rsidRPr="001F6B53">
      <w:rPr>
        <w:rFonts w:ascii="Calibri" w:hAnsi="Calibri" w:cs="Calibri"/>
        <w:b/>
        <w:bCs/>
        <w:color w:val="595959" w:themeColor="text1" w:themeTint="A6"/>
        <w:lang w:val="ro-RO"/>
      </w:rPr>
      <w:t>Institutul European pentru Studii Economice</w:t>
    </w:r>
  </w:p>
  <w:p w14:paraId="6C07399D" w14:textId="77777777" w:rsidR="00272CA8" w:rsidRPr="001F6B53" w:rsidRDefault="00272CA8" w:rsidP="00272CA8">
    <w:pPr>
      <w:pStyle w:val="Antetisubsol"/>
      <w:rPr>
        <w:rFonts w:ascii="Calibri" w:hAnsi="Calibri" w:cs="Calibri"/>
        <w:color w:val="595959" w:themeColor="text1" w:themeTint="A6"/>
        <w:lang w:val="ro-RO"/>
      </w:rPr>
    </w:pPr>
    <w:r w:rsidRPr="001F6B53">
      <w:rPr>
        <w:rFonts w:ascii="Calibri" w:hAnsi="Calibri" w:cs="Calibri"/>
        <w:color w:val="595959" w:themeColor="text1" w:themeTint="A6"/>
        <w:lang w:val="ro-RO"/>
      </w:rPr>
      <w:t>ies-europe.ro</w:t>
    </w:r>
  </w:p>
  <w:p w14:paraId="6C3A1B1E" w14:textId="77777777" w:rsidR="00272CA8" w:rsidRPr="001F6B53" w:rsidRDefault="00272CA8" w:rsidP="00272CA8">
    <w:pPr>
      <w:pStyle w:val="Antetisubsol"/>
      <w:rPr>
        <w:rFonts w:ascii="Calibri" w:hAnsi="Calibri" w:cs="Calibri"/>
        <w:color w:val="595959" w:themeColor="text1" w:themeTint="A6"/>
        <w:sz w:val="8"/>
        <w:szCs w:val="8"/>
        <w:lang w:val="ro-RO"/>
      </w:rPr>
    </w:pPr>
  </w:p>
  <w:p w14:paraId="0C2F3B13" w14:textId="77777777" w:rsidR="00272CA8" w:rsidRPr="001F6B53" w:rsidRDefault="00272CA8" w:rsidP="00272CA8">
    <w:pPr>
      <w:pStyle w:val="Antetisubsol"/>
      <w:pBdr>
        <w:bottom w:val="single" w:sz="12" w:space="1" w:color="auto"/>
      </w:pBdr>
      <w:rPr>
        <w:rFonts w:ascii="Calibri" w:hAnsi="Calibri" w:cs="Calibri"/>
        <w:lang w:val="ro-RO"/>
      </w:rPr>
    </w:pPr>
  </w:p>
  <w:p w14:paraId="0AF9EE0B" w14:textId="77777777" w:rsidR="00272CA8" w:rsidRDefault="00272CA8" w:rsidP="00272CA8">
    <w:pPr>
      <w:pStyle w:val="Header"/>
      <w:rPr>
        <w:lang w:val="ro-RO"/>
      </w:rPr>
    </w:pPr>
  </w:p>
  <w:p w14:paraId="65C62B6B" w14:textId="77777777" w:rsidR="00272CA8" w:rsidRPr="00272CA8" w:rsidRDefault="00272CA8">
    <w:pPr>
      <w:pStyle w:val="Header"/>
      <w:rPr>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D4"/>
    <w:rsid w:val="0020087D"/>
    <w:rsid w:val="00272CA8"/>
    <w:rsid w:val="0057424B"/>
    <w:rsid w:val="006164F6"/>
    <w:rsid w:val="006D24F0"/>
    <w:rsid w:val="00A757B0"/>
    <w:rsid w:val="00BE56FB"/>
    <w:rsid w:val="00C47608"/>
    <w:rsid w:val="00D52DB2"/>
    <w:rsid w:val="00D579D4"/>
    <w:rsid w:val="00D9450B"/>
    <w:rsid w:val="00DB004F"/>
    <w:rsid w:val="00F9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485A2"/>
  <w15:chartTrackingRefBased/>
  <w15:docId w15:val="{4824FB12-7070-4C12-B773-F7CBC388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9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79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79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79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79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7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9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79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79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9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9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9D4"/>
    <w:rPr>
      <w:rFonts w:eastAsiaTheme="majorEastAsia" w:cstheme="majorBidi"/>
      <w:color w:val="272727" w:themeColor="text1" w:themeTint="D8"/>
    </w:rPr>
  </w:style>
  <w:style w:type="paragraph" w:styleId="Title">
    <w:name w:val="Title"/>
    <w:basedOn w:val="Normal"/>
    <w:next w:val="Normal"/>
    <w:link w:val="TitleChar"/>
    <w:uiPriority w:val="10"/>
    <w:qFormat/>
    <w:rsid w:val="00D57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9D4"/>
    <w:pPr>
      <w:spacing w:before="160"/>
      <w:jc w:val="center"/>
    </w:pPr>
    <w:rPr>
      <w:i/>
      <w:iCs/>
      <w:color w:val="404040" w:themeColor="text1" w:themeTint="BF"/>
    </w:rPr>
  </w:style>
  <w:style w:type="character" w:customStyle="1" w:styleId="QuoteChar">
    <w:name w:val="Quote Char"/>
    <w:basedOn w:val="DefaultParagraphFont"/>
    <w:link w:val="Quote"/>
    <w:uiPriority w:val="29"/>
    <w:rsid w:val="00D579D4"/>
    <w:rPr>
      <w:i/>
      <w:iCs/>
      <w:color w:val="404040" w:themeColor="text1" w:themeTint="BF"/>
    </w:rPr>
  </w:style>
  <w:style w:type="paragraph" w:styleId="ListParagraph">
    <w:name w:val="List Paragraph"/>
    <w:basedOn w:val="Normal"/>
    <w:uiPriority w:val="34"/>
    <w:qFormat/>
    <w:rsid w:val="00D579D4"/>
    <w:pPr>
      <w:ind w:left="720"/>
      <w:contextualSpacing/>
    </w:pPr>
  </w:style>
  <w:style w:type="character" w:styleId="IntenseEmphasis">
    <w:name w:val="Intense Emphasis"/>
    <w:basedOn w:val="DefaultParagraphFont"/>
    <w:uiPriority w:val="21"/>
    <w:qFormat/>
    <w:rsid w:val="00D579D4"/>
    <w:rPr>
      <w:i/>
      <w:iCs/>
      <w:color w:val="2F5496" w:themeColor="accent1" w:themeShade="BF"/>
    </w:rPr>
  </w:style>
  <w:style w:type="paragraph" w:styleId="IntenseQuote">
    <w:name w:val="Intense Quote"/>
    <w:basedOn w:val="Normal"/>
    <w:next w:val="Normal"/>
    <w:link w:val="IntenseQuoteChar"/>
    <w:uiPriority w:val="30"/>
    <w:qFormat/>
    <w:rsid w:val="00D57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79D4"/>
    <w:rPr>
      <w:i/>
      <w:iCs/>
      <w:color w:val="2F5496" w:themeColor="accent1" w:themeShade="BF"/>
    </w:rPr>
  </w:style>
  <w:style w:type="character" w:styleId="IntenseReference">
    <w:name w:val="Intense Reference"/>
    <w:basedOn w:val="DefaultParagraphFont"/>
    <w:uiPriority w:val="32"/>
    <w:qFormat/>
    <w:rsid w:val="00D579D4"/>
    <w:rPr>
      <w:b/>
      <w:bCs/>
      <w:smallCaps/>
      <w:color w:val="2F5496" w:themeColor="accent1" w:themeShade="BF"/>
      <w:spacing w:val="5"/>
    </w:rPr>
  </w:style>
  <w:style w:type="character" w:styleId="Hyperlink">
    <w:name w:val="Hyperlink"/>
    <w:basedOn w:val="DefaultParagraphFont"/>
    <w:uiPriority w:val="99"/>
    <w:unhideWhenUsed/>
    <w:rsid w:val="0057424B"/>
    <w:rPr>
      <w:color w:val="0563C1" w:themeColor="hyperlink"/>
      <w:u w:val="single"/>
    </w:rPr>
  </w:style>
  <w:style w:type="character" w:styleId="UnresolvedMention">
    <w:name w:val="Unresolved Mention"/>
    <w:basedOn w:val="DefaultParagraphFont"/>
    <w:uiPriority w:val="99"/>
    <w:semiHidden/>
    <w:unhideWhenUsed/>
    <w:rsid w:val="0020087D"/>
    <w:rPr>
      <w:color w:val="605E5C"/>
      <w:shd w:val="clear" w:color="auto" w:fill="E1DFDD"/>
    </w:rPr>
  </w:style>
  <w:style w:type="paragraph" w:styleId="Header">
    <w:name w:val="header"/>
    <w:basedOn w:val="Normal"/>
    <w:link w:val="HeaderChar"/>
    <w:uiPriority w:val="99"/>
    <w:unhideWhenUsed/>
    <w:rsid w:val="0027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CA8"/>
  </w:style>
  <w:style w:type="paragraph" w:styleId="Footer">
    <w:name w:val="footer"/>
    <w:basedOn w:val="Normal"/>
    <w:link w:val="FooterChar"/>
    <w:uiPriority w:val="99"/>
    <w:unhideWhenUsed/>
    <w:rsid w:val="0027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CA8"/>
  </w:style>
  <w:style w:type="paragraph" w:customStyle="1" w:styleId="Antetisubsol">
    <w:name w:val="Antet și subsol"/>
    <w:rsid w:val="00272CA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5013">
      <w:bodyDiv w:val="1"/>
      <w:marLeft w:val="0"/>
      <w:marRight w:val="0"/>
      <w:marTop w:val="0"/>
      <w:marBottom w:val="0"/>
      <w:divBdr>
        <w:top w:val="none" w:sz="0" w:space="0" w:color="auto"/>
        <w:left w:val="none" w:sz="0" w:space="0" w:color="auto"/>
        <w:bottom w:val="none" w:sz="0" w:space="0" w:color="auto"/>
        <w:right w:val="none" w:sz="0" w:space="0" w:color="auto"/>
      </w:divBdr>
    </w:div>
    <w:div w:id="591279221">
      <w:bodyDiv w:val="1"/>
      <w:marLeft w:val="0"/>
      <w:marRight w:val="0"/>
      <w:marTop w:val="0"/>
      <w:marBottom w:val="0"/>
      <w:divBdr>
        <w:top w:val="none" w:sz="0" w:space="0" w:color="auto"/>
        <w:left w:val="none" w:sz="0" w:space="0" w:color="auto"/>
        <w:bottom w:val="none" w:sz="0" w:space="0" w:color="auto"/>
        <w:right w:val="none" w:sz="0" w:space="0" w:color="auto"/>
      </w:divBdr>
    </w:div>
    <w:div w:id="705251814">
      <w:bodyDiv w:val="1"/>
      <w:marLeft w:val="0"/>
      <w:marRight w:val="0"/>
      <w:marTop w:val="0"/>
      <w:marBottom w:val="0"/>
      <w:divBdr>
        <w:top w:val="none" w:sz="0" w:space="0" w:color="auto"/>
        <w:left w:val="none" w:sz="0" w:space="0" w:color="auto"/>
        <w:bottom w:val="none" w:sz="0" w:space="0" w:color="auto"/>
        <w:right w:val="none" w:sz="0" w:space="0" w:color="auto"/>
      </w:divBdr>
    </w:div>
    <w:div w:id="836503504">
      <w:bodyDiv w:val="1"/>
      <w:marLeft w:val="0"/>
      <w:marRight w:val="0"/>
      <w:marTop w:val="0"/>
      <w:marBottom w:val="0"/>
      <w:divBdr>
        <w:top w:val="none" w:sz="0" w:space="0" w:color="auto"/>
        <w:left w:val="none" w:sz="0" w:space="0" w:color="auto"/>
        <w:bottom w:val="none" w:sz="0" w:space="0" w:color="auto"/>
        <w:right w:val="none" w:sz="0" w:space="0" w:color="auto"/>
      </w:divBdr>
    </w:div>
    <w:div w:id="1442528965">
      <w:bodyDiv w:val="1"/>
      <w:marLeft w:val="0"/>
      <w:marRight w:val="0"/>
      <w:marTop w:val="0"/>
      <w:marBottom w:val="0"/>
      <w:divBdr>
        <w:top w:val="none" w:sz="0" w:space="0" w:color="auto"/>
        <w:left w:val="none" w:sz="0" w:space="0" w:color="auto"/>
        <w:bottom w:val="none" w:sz="0" w:space="0" w:color="auto"/>
        <w:right w:val="none" w:sz="0" w:space="0" w:color="auto"/>
      </w:divBdr>
    </w:div>
    <w:div w:id="1917545875">
      <w:bodyDiv w:val="1"/>
      <w:marLeft w:val="0"/>
      <w:marRight w:val="0"/>
      <w:marTop w:val="0"/>
      <w:marBottom w:val="0"/>
      <w:divBdr>
        <w:top w:val="none" w:sz="0" w:space="0" w:color="auto"/>
        <w:left w:val="none" w:sz="0" w:space="0" w:color="auto"/>
        <w:bottom w:val="none" w:sz="0" w:space="0" w:color="auto"/>
        <w:right w:val="none" w:sz="0" w:space="0" w:color="auto"/>
      </w:divBdr>
    </w:div>
    <w:div w:id="1991865706">
      <w:bodyDiv w:val="1"/>
      <w:marLeft w:val="0"/>
      <w:marRight w:val="0"/>
      <w:marTop w:val="0"/>
      <w:marBottom w:val="0"/>
      <w:divBdr>
        <w:top w:val="none" w:sz="0" w:space="0" w:color="auto"/>
        <w:left w:val="none" w:sz="0" w:space="0" w:color="auto"/>
        <w:bottom w:val="none" w:sz="0" w:space="0" w:color="auto"/>
        <w:right w:val="none" w:sz="0" w:space="0" w:color="auto"/>
      </w:divBdr>
    </w:div>
    <w:div w:id="202574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es-europe.ro/studii/2025_C2_Comert_Liber_si_Competitivitate.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Nasulea</dc:creator>
  <cp:keywords/>
  <dc:description/>
  <cp:lastModifiedBy>Christian Nasulea</cp:lastModifiedBy>
  <cp:revision>8</cp:revision>
  <dcterms:created xsi:type="dcterms:W3CDTF">2025-02-10T11:29:00Z</dcterms:created>
  <dcterms:modified xsi:type="dcterms:W3CDTF">2025-02-12T12:11:00Z</dcterms:modified>
</cp:coreProperties>
</file>